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B45" w:rsidRPr="00864B45" w:rsidRDefault="00864B45" w:rsidP="00864B45">
      <w:pPr>
        <w:shd w:val="clear" w:color="auto" w:fill="FFFFFF"/>
        <w:spacing w:before="225" w:after="100" w:afterAutospacing="1" w:line="240" w:lineRule="auto"/>
        <w:outlineLvl w:val="0"/>
        <w:rPr>
          <w:rFonts w:ascii="Arial" w:eastAsia="Times New Roman" w:hAnsi="Arial" w:cs="Arial"/>
          <w:color w:val="353F4A"/>
          <w:kern w:val="36"/>
          <w:sz w:val="36"/>
          <w:szCs w:val="36"/>
          <w:lang w:eastAsia="ru-RU"/>
        </w:rPr>
      </w:pPr>
      <w:r w:rsidRPr="00864B45">
        <w:rPr>
          <w:rFonts w:ascii="Arial" w:eastAsia="Times New Roman" w:hAnsi="Arial" w:cs="Arial"/>
          <w:color w:val="353F4A"/>
          <w:kern w:val="36"/>
          <w:sz w:val="36"/>
          <w:szCs w:val="36"/>
          <w:lang w:eastAsia="ru-RU"/>
        </w:rPr>
        <w:t>Транспортные и пешеходные связи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 xml:space="preserve">Въезды на территорию квартала, а также сквозные проезды в зданиях новой застройки следует предусматривать на расстоянии не более 300 м один от другого. Примыкания </w:t>
      </w:r>
      <w:proofErr w:type="gramStart"/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проездов</w:t>
      </w:r>
      <w:proofErr w:type="gramEnd"/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 xml:space="preserve"> к проезжим частям магистральных улиц регулируемого движения допускаются на расстояниях не менее 50 м от стоп-линий перекрестков.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Для подъезда к группам жилых зданий, крупным учреждениям и предприятиям обслуживания, торговым центрам следует предусматривать основные проезды, а к отдельно стоящим зданиям – второстепенные проезды.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По своему назначению и характеру движения проезды разделяются на проезды с двусторонним движением, с односторонним движением и тупиковые с односторонним движением для подъезда к отдельным домам.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Проезды с двусторонним движением устраивают шириной 5,5 м, с односторонним движением – 3,5 м. Радиусы кривых принимают не менее 8 м (рис. 2). На поворотах основных проездов, чтобы обеспечить возможность проезда пожарных машин, с внешней стороны проезда нельзя располагать деревья, столбы, фонари. На проездах, используемых для подвоза строительных конструкций, радиусы поворотов принимают не менее 12 м.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Тротуары устраивают с одной стороны проездов. Ширину тротуаров принимают 1,5 м при пятиэтажной застройке и 2,25 м при застройке выше пяти этажей. Расположение проездов может быть весьма разнообразным в зависимости от общей планировочной композиции застройки микрорайона или квартала (рис. 3).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>
        <w:rPr>
          <w:rFonts w:ascii="Arial" w:eastAsia="Times New Roman" w:hAnsi="Arial" w:cs="Arial"/>
          <w:noProof/>
          <w:color w:val="353F4A"/>
          <w:sz w:val="25"/>
          <w:szCs w:val="25"/>
          <w:lang w:eastAsia="ru-RU"/>
        </w:rPr>
        <w:lastRenderedPageBreak/>
        <w:drawing>
          <wp:inline distT="0" distB="0" distL="0" distR="0">
            <wp:extent cx="12011025" cy="5143500"/>
            <wp:effectExtent l="19050" t="0" r="9525" b="0"/>
            <wp:docPr id="1" name="Рисунок 1" descr="Транспортные и пешеходные связи - №1 - открытая онлайн библиоте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ранспортные и пешеходные связи - №1 - открытая онлайн библиотека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1025" cy="514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Рис. 1. Площадки для разъезда и Рис. 2. Проезды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кратковременной стоянки автомобилей микрорайона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на проездах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Целесообразно на поворотах делать уширения – площадки, которые особенно полезны при однополосных проездах (рис. 1). Такие площадки могут служить для разъезда встречных автомобилей, для кратковременной стоянки. В конце тупиковых проездов устраивают поворотные площадки размером не менее 12×12 м, треугольники со сторонами размером 7 м или кольцевые объезды радиусом по оси дорог не менее 10 м.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>
        <w:rPr>
          <w:rFonts w:ascii="Arial" w:eastAsia="Times New Roman" w:hAnsi="Arial" w:cs="Arial"/>
          <w:noProof/>
          <w:color w:val="353F4A"/>
          <w:sz w:val="25"/>
          <w:szCs w:val="25"/>
          <w:lang w:eastAsia="ru-RU"/>
        </w:rPr>
        <w:lastRenderedPageBreak/>
        <w:drawing>
          <wp:inline distT="0" distB="0" distL="0" distR="0">
            <wp:extent cx="13620750" cy="4238625"/>
            <wp:effectExtent l="19050" t="0" r="0" b="0"/>
            <wp:docPr id="2" name="Рисунок 2" descr="Транспортные и пешеходные связи - №2 - открытая онлайн библиоте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ранспортные и пешеходные связи - №2 - открытая онлайн библиотек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0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Рис. 3. Варианты расположения проездов в микрорайонах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Тупиковые проезды должны быть протяженностью не более 150 м и заканчиваться поворотными площадками, обеспечивающими возможность разворота автотранспорта. К отдельно стоящим жилым зданиям высотой не более 9 этажей, а также к объектам, посещаемым инвалидами, допускается устройство проездов, совмещенных с тротуарами при протяженности их не более 150 м и общей ширине не менее 4,2 м.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Особенно разнообразно решается сеть проездов в микрорайонах при свободной системе планировки. Современная тенденция - всячески изолировать жилые дома от автомобильного движения (а эта тенденция с возрастанием степени насыщения городов автомобилями будет все усиливаться) - требует расположения проездов не вдоль фасадов жилых домов, а со стороны глухих торцов зданий.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Таблица 2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Классификация внутриквартальных проездов и тротуаров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22"/>
        <w:gridCol w:w="4823"/>
        <w:gridCol w:w="759"/>
        <w:gridCol w:w="981"/>
      </w:tblGrid>
      <w:tr w:rsidR="00864B45" w:rsidRPr="00864B45" w:rsidTr="00864B45"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назначение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полос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Ширина, </w:t>
            </w:r>
            <w:proofErr w:type="gramStart"/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</w:p>
        </w:tc>
      </w:tr>
      <w:tr w:rsidR="00864B45" w:rsidRPr="00864B45" w:rsidTr="00864B45"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Проезды главные и основные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Транспортная связь групп жилых, общественных и культурных зданий между собой и с внешней сетью улиц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5,5</w:t>
            </w:r>
          </w:p>
        </w:tc>
      </w:tr>
      <w:tr w:rsidR="00864B45" w:rsidRPr="00864B45" w:rsidTr="00864B45"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Проезды к отдельным </w:t>
            </w: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зданиям и автостоянкам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Транспортное и пешеходное обслуживание </w:t>
            </w: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отдельных зданий, связь с основными и главными проездами, </w:t>
            </w:r>
            <w:proofErr w:type="spellStart"/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паркирование</w:t>
            </w:r>
            <w:proofErr w:type="spellEnd"/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индивидуального и внутриквартального транспорта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1-2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</w:t>
            </w:r>
          </w:p>
        </w:tc>
      </w:tr>
      <w:tr w:rsidR="00864B45" w:rsidRPr="00864B45" w:rsidTr="00864B45"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Пожарные проезды и подъезды к теплофикационным камерам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Транспортное обслуживание отдельных сооружений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3,5 4,2</w:t>
            </w:r>
          </w:p>
        </w:tc>
      </w:tr>
      <w:tr w:rsidR="00864B45" w:rsidRPr="00864B45" w:rsidTr="00864B45"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Тротуары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Пешеходное движение, обслуживание жилых, общественных и культурных зданий, связь с внешней сетью улиц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0" w:type="auto"/>
            <w:vAlign w:val="center"/>
            <w:hideMark/>
          </w:tcPr>
          <w:p w:rsidR="00864B45" w:rsidRPr="00864B45" w:rsidRDefault="00864B45" w:rsidP="00864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4B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</w:tr>
    </w:tbl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proofErr w:type="spellStart"/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Внутримикрорайонные</w:t>
      </w:r>
      <w:proofErr w:type="spellEnd"/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 xml:space="preserve"> проезды нельзя устраивать </w:t>
      </w:r>
      <w:proofErr w:type="gramStart"/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сквозными</w:t>
      </w:r>
      <w:proofErr w:type="gramEnd"/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, допускающими транзитный проезд через микрорайон (квартал). Трассы проездов целесообразно делать с изломами при небольших радиусах поворота, что снизит скорость движения и повысит степень его безопасности.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Расстояние от края проезда до стены здания, как правило, следует принимать 5-8 м для зданий до 9 этажей и 8-10 м – для зданий в 9 этажей и выше. В этой зоне не допускается размещать ограждения, осуществлять рядовую посадку деревьев.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Вдоль фасадов зданий, не имеющих входов, допускается предусматривать полосы шириной 6 м, пригодные для проезда пожарных машин, с учетом допустимой нагрузки на покрытие или грунт.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Классификация проездов и тротуаров производится в соответствии с типовыми решениями, таблице 2.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К зданиям и сооружениям по всей их длине должен быть обеспечен подъезд пожарных автомобилей: с одной стороны - при ширине здания или сооружения до 18 м и с двух сторон - при ширине более 18 м, а также при устройстве замкнутых и полузамкнутых дворов.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>
        <w:rPr>
          <w:rFonts w:ascii="Arial" w:eastAsia="Times New Roman" w:hAnsi="Arial" w:cs="Arial"/>
          <w:noProof/>
          <w:color w:val="353F4A"/>
          <w:sz w:val="25"/>
          <w:szCs w:val="25"/>
          <w:lang w:eastAsia="ru-RU"/>
        </w:rPr>
        <w:lastRenderedPageBreak/>
        <w:drawing>
          <wp:inline distT="0" distB="0" distL="0" distR="0">
            <wp:extent cx="18954750" cy="18259425"/>
            <wp:effectExtent l="19050" t="0" r="0" b="0"/>
            <wp:docPr id="3" name="Рисунок 3" descr="Транспортные и пешеходные связи - №3 - открытая онлайн библиоте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Транспортные и пешеходные связи - №3 - открытая онлайн библиотека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0" cy="1825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lastRenderedPageBreak/>
        <w:t>Рис. 4. Пример оформления плана проездов, тротуаров, дорожек, площадок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>
        <w:rPr>
          <w:rFonts w:ascii="Arial" w:eastAsia="Times New Roman" w:hAnsi="Arial" w:cs="Arial"/>
          <w:noProof/>
          <w:color w:val="353F4A"/>
          <w:sz w:val="25"/>
          <w:szCs w:val="25"/>
          <w:lang w:eastAsia="ru-RU"/>
        </w:rPr>
        <w:drawing>
          <wp:inline distT="0" distB="0" distL="0" distR="0">
            <wp:extent cx="15773400" cy="6410325"/>
            <wp:effectExtent l="19050" t="0" r="0" b="0"/>
            <wp:docPr id="4" name="Рисунок 4" descr="Транспортные и пешеходные связи - №4 - открытая онлайн библиоте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Транспортные и пешеходные связи - №4 - открытая онлайн библиотек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0" cy="641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Рис. 5. Ведомость тротуаров, дорожек и площадок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Автостоянки могут размещаться ниже или выше уровня земли, пристраиваться к зданиям другого назначения или встраиваться в них, в том числе располагаться под этими зданиями, а также размещаться на специально оборудованной открытой площадке на уровне земли.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При проектировании автостоянок необходимо выходить из таких нормативных параметров: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lastRenderedPageBreak/>
        <w:t xml:space="preserve">- размеры одного </w:t>
      </w:r>
      <w:proofErr w:type="spellStart"/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машино-места</w:t>
      </w:r>
      <w:proofErr w:type="spellEnd"/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 xml:space="preserve"> на автостоянках хранения средних автомобилей (с учетом минимально допустимых зазоров безопасности 0,5 м) – 2,5 × 5,3 м.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- для временных автостоянок допускаются размеры стоянки 2,3 × 5,0 м. Зазоры безопасности допускается увеличивать до 0,7 м;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- минимальная ширина проездов: с двусторонним движением - 6 м,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с односторонним движением - 3,5 м;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- радиусы закругления бортового камня - не менее чем 6м.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 xml:space="preserve">Расстояние пешеходных подходов от стоянок для временного хранения легковых автомобилей следует принимать, </w:t>
      </w:r>
      <w:proofErr w:type="gramStart"/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м</w:t>
      </w:r>
      <w:proofErr w:type="gramEnd"/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, не более: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до входов в жилые дома ……………………………………………. 100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до входов в места крупных учреждений торговли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и общественного питания ……………………..…………………... 150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до прочих учреждений и предприятий обслуживания</w:t>
      </w:r>
    </w:p>
    <w:p w:rsidR="00864B45" w:rsidRPr="00864B45" w:rsidRDefault="00864B45" w:rsidP="00864B45">
      <w:pPr>
        <w:shd w:val="clear" w:color="auto" w:fill="FFFFFF"/>
        <w:spacing w:before="100" w:beforeAutospacing="1" w:after="210" w:line="240" w:lineRule="auto"/>
        <w:jc w:val="both"/>
        <w:rPr>
          <w:rFonts w:ascii="Arial" w:eastAsia="Times New Roman" w:hAnsi="Arial" w:cs="Arial"/>
          <w:color w:val="353F4A"/>
          <w:sz w:val="25"/>
          <w:szCs w:val="25"/>
          <w:lang w:eastAsia="ru-RU"/>
        </w:rPr>
      </w:pPr>
      <w:r w:rsidRPr="00864B45">
        <w:rPr>
          <w:rFonts w:ascii="Arial" w:eastAsia="Times New Roman" w:hAnsi="Arial" w:cs="Arial"/>
          <w:color w:val="353F4A"/>
          <w:sz w:val="25"/>
          <w:szCs w:val="25"/>
          <w:lang w:eastAsia="ru-RU"/>
        </w:rPr>
        <w:t>населения и административных зданий ….……….……………... 250</w:t>
      </w:r>
    </w:p>
    <w:p w:rsidR="00864B45" w:rsidRPr="00864B45" w:rsidRDefault="00864B45" w:rsidP="00864B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4B45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0" o:hrstd="t" o:hrnoshade="t" o:hr="t" fillcolor="#353f4a" stroked="f"/>
        </w:pict>
      </w:r>
    </w:p>
    <w:p w:rsidR="00864B45" w:rsidRPr="00864B45" w:rsidRDefault="00864B45" w:rsidP="00864B45">
      <w:pPr>
        <w:shd w:val="clear" w:color="auto" w:fill="FFFFFF"/>
        <w:spacing w:after="100" w:afterAutospacing="1" w:line="240" w:lineRule="auto"/>
        <w:outlineLvl w:val="1"/>
        <w:rPr>
          <w:rFonts w:ascii="Arial" w:eastAsia="Times New Roman" w:hAnsi="Arial" w:cs="Arial"/>
          <w:color w:val="353F4A"/>
          <w:sz w:val="33"/>
          <w:szCs w:val="33"/>
          <w:lang w:eastAsia="ru-RU"/>
        </w:rPr>
      </w:pPr>
      <w:r w:rsidRPr="00864B45">
        <w:rPr>
          <w:rFonts w:ascii="Arial" w:eastAsia="Times New Roman" w:hAnsi="Arial" w:cs="Arial"/>
          <w:color w:val="353F4A"/>
          <w:sz w:val="33"/>
          <w:szCs w:val="33"/>
          <w:lang w:eastAsia="ru-RU"/>
        </w:rPr>
        <w:t>Рекомендуемые статьи</w:t>
      </w:r>
    </w:p>
    <w:p w:rsidR="00864B45" w:rsidRPr="00864B45" w:rsidRDefault="00864B45" w:rsidP="00864B45">
      <w:pPr>
        <w:shd w:val="clear" w:color="auto" w:fill="FFFFFF"/>
        <w:spacing w:after="100" w:afterAutospacing="1" w:line="300" w:lineRule="atLeast"/>
        <w:rPr>
          <w:rFonts w:ascii="Arial" w:eastAsia="Times New Roman" w:hAnsi="Arial" w:cs="Arial"/>
          <w:color w:val="353F4A"/>
          <w:sz w:val="24"/>
          <w:szCs w:val="24"/>
          <w:lang w:eastAsia="ru-RU"/>
        </w:rPr>
      </w:pPr>
      <w:hyperlink r:id="rId8" w:history="1">
        <w:r w:rsidRPr="00864B45">
          <w:rPr>
            <w:rFonts w:ascii="Arial" w:eastAsia="Times New Roman" w:hAnsi="Arial" w:cs="Arial"/>
            <w:color w:val="004998"/>
            <w:sz w:val="24"/>
            <w:szCs w:val="24"/>
            <w:lang w:eastAsia="ru-RU"/>
          </w:rPr>
          <w:t>Пешеходные прогулки</w:t>
        </w:r>
      </w:hyperlink>
    </w:p>
    <w:p w:rsidR="00864B45" w:rsidRPr="00864B45" w:rsidRDefault="00864B45" w:rsidP="00864B45">
      <w:pPr>
        <w:shd w:val="clear" w:color="auto" w:fill="FFFFFF"/>
        <w:spacing w:after="100" w:afterAutospacing="1" w:line="300" w:lineRule="atLeast"/>
        <w:rPr>
          <w:rFonts w:ascii="Arial" w:eastAsia="Times New Roman" w:hAnsi="Arial" w:cs="Arial"/>
          <w:color w:val="353F4A"/>
          <w:sz w:val="24"/>
          <w:szCs w:val="24"/>
          <w:lang w:eastAsia="ru-RU"/>
        </w:rPr>
      </w:pPr>
      <w:hyperlink r:id="rId9" w:history="1">
        <w:r w:rsidRPr="00864B45">
          <w:rPr>
            <w:rFonts w:ascii="Arial" w:eastAsia="Times New Roman" w:hAnsi="Arial" w:cs="Arial"/>
            <w:color w:val="004998"/>
            <w:sz w:val="24"/>
            <w:szCs w:val="24"/>
            <w:lang w:eastAsia="ru-RU"/>
          </w:rPr>
          <w:t>Обозначьте на контурной карте Донецкой области основные транспортные магистрали и транспортные узлы</w:t>
        </w:r>
      </w:hyperlink>
    </w:p>
    <w:p w:rsidR="00864B45" w:rsidRPr="00864B45" w:rsidRDefault="00864B45" w:rsidP="00864B45">
      <w:pPr>
        <w:shd w:val="clear" w:color="auto" w:fill="FFFFFF"/>
        <w:spacing w:after="100" w:afterAutospacing="1" w:line="300" w:lineRule="atLeast"/>
        <w:rPr>
          <w:rFonts w:ascii="Arial" w:eastAsia="Times New Roman" w:hAnsi="Arial" w:cs="Arial"/>
          <w:color w:val="353F4A"/>
          <w:sz w:val="24"/>
          <w:szCs w:val="24"/>
          <w:lang w:eastAsia="ru-RU"/>
        </w:rPr>
      </w:pPr>
      <w:hyperlink r:id="rId10" w:history="1">
        <w:r w:rsidRPr="00864B45">
          <w:rPr>
            <w:rFonts w:ascii="Arial" w:eastAsia="Times New Roman" w:hAnsi="Arial" w:cs="Arial"/>
            <w:color w:val="004998"/>
            <w:sz w:val="24"/>
            <w:szCs w:val="24"/>
            <w:lang w:eastAsia="ru-RU"/>
          </w:rPr>
          <w:t>Пешеходные связи в микрорайонах и кварталах</w:t>
        </w:r>
      </w:hyperlink>
    </w:p>
    <w:p w:rsidR="00864B45" w:rsidRPr="00864B45" w:rsidRDefault="00864B45" w:rsidP="00864B45">
      <w:pPr>
        <w:shd w:val="clear" w:color="auto" w:fill="FFFFFF"/>
        <w:spacing w:after="100" w:afterAutospacing="1" w:line="300" w:lineRule="atLeast"/>
        <w:rPr>
          <w:rFonts w:ascii="Arial" w:eastAsia="Times New Roman" w:hAnsi="Arial" w:cs="Arial"/>
          <w:color w:val="353F4A"/>
          <w:sz w:val="24"/>
          <w:szCs w:val="24"/>
          <w:lang w:eastAsia="ru-RU"/>
        </w:rPr>
      </w:pPr>
      <w:hyperlink r:id="rId11" w:history="1">
        <w:r w:rsidRPr="00864B45">
          <w:rPr>
            <w:rFonts w:ascii="Arial" w:eastAsia="Times New Roman" w:hAnsi="Arial" w:cs="Arial"/>
            <w:color w:val="004998"/>
            <w:sz w:val="24"/>
            <w:szCs w:val="24"/>
            <w:lang w:eastAsia="ru-RU"/>
          </w:rPr>
          <w:t>IV. Транспортные и пешеходные связи в микрорайоне</w:t>
        </w:r>
      </w:hyperlink>
    </w:p>
    <w:p w:rsidR="00864B45" w:rsidRPr="00864B45" w:rsidRDefault="00864B45" w:rsidP="00864B45">
      <w:pPr>
        <w:shd w:val="clear" w:color="auto" w:fill="FFFFFF"/>
        <w:spacing w:after="100" w:afterAutospacing="1" w:line="300" w:lineRule="atLeast"/>
        <w:rPr>
          <w:rFonts w:ascii="Arial" w:eastAsia="Times New Roman" w:hAnsi="Arial" w:cs="Arial"/>
          <w:color w:val="353F4A"/>
          <w:sz w:val="24"/>
          <w:szCs w:val="24"/>
          <w:lang w:eastAsia="ru-RU"/>
        </w:rPr>
      </w:pPr>
      <w:hyperlink r:id="rId12" w:history="1">
        <w:r w:rsidRPr="00864B45">
          <w:rPr>
            <w:rFonts w:ascii="Arial" w:eastAsia="Times New Roman" w:hAnsi="Arial" w:cs="Arial"/>
            <w:color w:val="004998"/>
            <w:sz w:val="24"/>
            <w:szCs w:val="24"/>
            <w:lang w:eastAsia="ru-RU"/>
          </w:rPr>
          <w:t>Транспортные и пешеходные связи</w:t>
        </w:r>
      </w:hyperlink>
    </w:p>
    <w:p w:rsidR="00864B45" w:rsidRPr="00864B45" w:rsidRDefault="00864B45" w:rsidP="00864B45">
      <w:pPr>
        <w:shd w:val="clear" w:color="auto" w:fill="FFFFFF"/>
        <w:spacing w:after="100" w:afterAutospacing="1" w:line="300" w:lineRule="atLeast"/>
        <w:rPr>
          <w:rFonts w:ascii="Arial" w:eastAsia="Times New Roman" w:hAnsi="Arial" w:cs="Arial"/>
          <w:color w:val="353F4A"/>
          <w:sz w:val="24"/>
          <w:szCs w:val="24"/>
          <w:lang w:eastAsia="ru-RU"/>
        </w:rPr>
      </w:pPr>
      <w:hyperlink r:id="rId13" w:history="1">
        <w:r w:rsidRPr="00864B45">
          <w:rPr>
            <w:rFonts w:ascii="Arial" w:eastAsia="Times New Roman" w:hAnsi="Arial" w:cs="Arial"/>
            <w:color w:val="004998"/>
            <w:sz w:val="24"/>
            <w:szCs w:val="24"/>
            <w:lang w:eastAsia="ru-RU"/>
          </w:rPr>
          <w:t>В настоящее время в отечественном градостроительстве площади условно делятся на два основных типа: пешеходные и транспортные</w:t>
        </w:r>
      </w:hyperlink>
    </w:p>
    <w:p w:rsidR="00864B45" w:rsidRPr="00864B45" w:rsidRDefault="00864B45" w:rsidP="00864B45">
      <w:pPr>
        <w:shd w:val="clear" w:color="auto" w:fill="FFFFFF"/>
        <w:spacing w:after="100" w:afterAutospacing="1" w:line="300" w:lineRule="atLeast"/>
        <w:rPr>
          <w:rFonts w:ascii="Arial" w:eastAsia="Times New Roman" w:hAnsi="Arial" w:cs="Arial"/>
          <w:color w:val="353F4A"/>
          <w:sz w:val="24"/>
          <w:szCs w:val="24"/>
          <w:lang w:eastAsia="ru-RU"/>
        </w:rPr>
      </w:pPr>
      <w:hyperlink r:id="rId14" w:history="1">
        <w:r w:rsidRPr="00864B45">
          <w:rPr>
            <w:rFonts w:ascii="Arial" w:eastAsia="Times New Roman" w:hAnsi="Arial" w:cs="Arial"/>
            <w:color w:val="353F4A"/>
            <w:sz w:val="24"/>
            <w:szCs w:val="24"/>
            <w:lang w:eastAsia="ru-RU"/>
          </w:rPr>
          <w:t>Транспортные коридоры и транспортные цепи</w:t>
        </w:r>
      </w:hyperlink>
    </w:p>
    <w:p w:rsidR="00580145" w:rsidRDefault="00864B45"/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64B45"/>
    <w:rsid w:val="003E4EB1"/>
    <w:rsid w:val="00435376"/>
    <w:rsid w:val="00497F8F"/>
    <w:rsid w:val="005509AE"/>
    <w:rsid w:val="00864B45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paragraph" w:styleId="1">
    <w:name w:val="heading 1"/>
    <w:basedOn w:val="a"/>
    <w:link w:val="10"/>
    <w:uiPriority w:val="9"/>
    <w:qFormat/>
    <w:rsid w:val="00864B4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64B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64B4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64B4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64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64B4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64B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4B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31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elib.info/iskusstvo/134366-peshehodnye-progulki/" TargetMode="External"/><Relationship Id="rId13" Type="http://schemas.openxmlformats.org/officeDocument/2006/relationships/hyperlink" Target="https://thelib.info/istoriya/3025783-v-nastoyashhee-vremya-v-otechestvennom-gradostroitelstve-ploshhadi-uslovno-delyatsya-na-dva-osnovnyh-tipa-peshehodnye-i-transportnye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https://thelib.info/elektronika/2527860-transportnye-i-peshehodnye-svyazi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thelib.info/sociologiya/2142563-iv-transportnye-i-peshehodnye-svyazi-v-mikrorajone/" TargetMode="External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hyperlink" Target="https://thelib.info/ekonomika/1625312-peshehodnye-svyazi-v-mikrorajonah-i-kvartalah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thelib.info/promyshlennost/1016528-oboznachte-na-konturnoj-karte-doneckoj-oblasti-osnovnye-transportnye-magistrali-i-transportnye-uzly/" TargetMode="External"/><Relationship Id="rId14" Type="http://schemas.openxmlformats.org/officeDocument/2006/relationships/hyperlink" Target="https://thelib.info/transport/3055524-transportnye-koridory-i-transportnye-cep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1038</Words>
  <Characters>5920</Characters>
  <Application>Microsoft Office Word</Application>
  <DocSecurity>0</DocSecurity>
  <Lines>49</Lines>
  <Paragraphs>13</Paragraphs>
  <ScaleCrop>false</ScaleCrop>
  <Company>Microsoft</Company>
  <LinksUpToDate>false</LinksUpToDate>
  <CharactersWithSpaces>6945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2020-04-02T14:20:00Z</dcterms:created>
  <dcterms:modified xsi:type="dcterms:W3CDTF">2020-04-02T14:21:00Z</dcterms:modified>
</cp:coreProperties>
</file>